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textId="40CC596D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:rsidRPr="0004089D" w:rsidR="009C7D49" w:rsidP="009C7D49" w:rsidRDefault="00A01347" w14:paraId="056DB11F" w14:textId="1BEE8DA6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Feb. </w:t>
      </w:r>
      <w:r w:rsidR="00A111AD">
        <w:rPr>
          <w:rFonts w:ascii="Aptos" w:hAnsi="Aptos"/>
          <w:b/>
          <w:bCs/>
        </w:rPr>
        <w:t>24</w:t>
      </w:r>
      <w:r w:rsidRPr="0004089D" w:rsidR="009C7D49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9C7D49" w14:paraId="53AEBA2C" w14:textId="2E60EF1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Nathan White, </w:t>
      </w:r>
      <w:r w:rsidR="002C5954">
        <w:rPr>
          <w:rFonts w:ascii="Aptos" w:hAnsi="Aptos" w:cs="Segoe UI"/>
        </w:rPr>
        <w:t xml:space="preserve">Melissa Schiel, </w:t>
      </w:r>
      <w:r w:rsidRPr="0004089D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>, Anne Cubilie</w:t>
      </w:r>
      <w:r w:rsidR="00A111AD">
        <w:rPr>
          <w:rFonts w:ascii="Aptos" w:hAnsi="Aptos" w:cs="Segoe UI"/>
        </w:rPr>
        <w:t>, Amy Claridge</w:t>
      </w:r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30A9C1AD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A111AD">
        <w:rPr>
          <w:rFonts w:ascii="Aptos" w:hAnsi="Aptos" w:cs="Segoe UI"/>
        </w:rPr>
        <w:t>2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135C631C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:rsidRPr="0004089D" w:rsidR="009C7D49" w:rsidP="009C7D49" w:rsidRDefault="009C7D49" w14:paraId="4FFCEADF" w14:textId="547E97A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Approved</w:t>
      </w:r>
    </w:p>
    <w:p w:rsidR="00FE6819" w:rsidP="00FE6819" w:rsidRDefault="009C7D49" w14:paraId="4CAAAA3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Pr="00A111AD" w:rsidR="00A111AD" w:rsidP="00A111AD" w:rsidRDefault="00A111AD" w14:paraId="318FABB7" w14:textId="05A187A6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A111AD">
        <w:rPr>
          <w:rFonts w:ascii="Aptos" w:hAnsi="Aptos" w:cs="Segoe UI"/>
        </w:rPr>
        <w:t>EC questions</w:t>
      </w:r>
      <w:r w:rsidRPr="00A111AD">
        <w:rPr>
          <w:rFonts w:ascii="Aptos" w:hAnsi="Aptos" w:cs="Segoe UI"/>
        </w:rPr>
        <w:t xml:space="preserve"> related to charge BFCC 25-26.03 were sent</w:t>
      </w:r>
      <w:r w:rsidRPr="00A111AD">
        <w:rPr>
          <w:rFonts w:ascii="Aptos" w:hAnsi="Aptos" w:cs="Segoe UI"/>
        </w:rPr>
        <w:t xml:space="preserve"> only shortly before the meeting, limiting the committee’s ability to proceed </w:t>
      </w:r>
      <w:r w:rsidRPr="00A111AD">
        <w:rPr>
          <w:rFonts w:ascii="Aptos" w:hAnsi="Aptos" w:cs="Segoe UI"/>
        </w:rPr>
        <w:t>on this charge today</w:t>
      </w:r>
      <w:r>
        <w:rPr>
          <w:rFonts w:ascii="Aptos" w:hAnsi="Aptos" w:cs="Segoe UI"/>
        </w:rPr>
        <w:t>.</w:t>
      </w:r>
    </w:p>
    <w:p w:rsidRPr="00A111AD" w:rsidR="00A111AD" w:rsidP="00A111AD" w:rsidRDefault="00A111AD" w14:paraId="14571401" w14:textId="49CE2B41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A111AD">
        <w:rPr>
          <w:rFonts w:ascii="Aptos" w:hAnsi="Aptos" w:cs="Segoe UI"/>
        </w:rPr>
        <w:t>Edits to the March 4 (was Feb. 4) Senate report have been approved and sent to the EC.</w:t>
      </w:r>
    </w:p>
    <w:p w:rsidRPr="0037399E" w:rsidR="009C7D49" w:rsidP="00A01347" w:rsidRDefault="009C7D49" w14:paraId="7266D9B3" w14:textId="017EB7CA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EC Report</w:t>
      </w:r>
    </w:p>
    <w:p w:rsidRPr="00A111AD" w:rsidR="00A111AD" w:rsidP="7767F937" w:rsidRDefault="00A111AD" w14:paraId="3A204D28" w14:textId="77EAEFC7">
      <w:pPr>
        <w:pStyle w:val="ListParagraph"/>
        <w:numPr>
          <w:ilvl w:val="0"/>
          <w:numId w:val="72"/>
        </w:numPr>
        <w:spacing w:before="100" w:beforeAutospacing="on" w:after="100" w:afterAutospacing="on" w:line="300" w:lineRule="atLeast"/>
        <w:outlineLvl w:val="2"/>
        <w:rPr>
          <w:rFonts w:ascii="Aptos" w:hAnsi="Aptos" w:cs="Segoe UI"/>
        </w:rPr>
      </w:pPr>
      <w:r w:rsidRPr="7767F937" w:rsidR="6EBE8D81">
        <w:rPr>
          <w:rFonts w:ascii="Aptos" w:hAnsi="Aptos" w:cs="Segoe UI"/>
        </w:rPr>
        <w:t>EC has met with the Board of Trustees’ Academic Affairs Committee</w:t>
      </w:r>
      <w:r w:rsidRPr="7767F937" w:rsidR="6EBE8D81">
        <w:rPr>
          <w:rFonts w:ascii="Aptos" w:hAnsi="Aptos" w:cs="Segoe UI"/>
        </w:rPr>
        <w:t xml:space="preserve"> on the Shared Governance document, including conversation about BFCC’s report on the alignment of the Shared Governance document and Faculty Code. </w:t>
      </w:r>
    </w:p>
    <w:p w:rsidR="00A111AD" w:rsidP="00A111AD" w:rsidRDefault="009C7D49" w14:paraId="17B219F1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:rsidR="00A111AD" w:rsidP="00A111AD" w:rsidRDefault="00A111AD" w14:paraId="4D6F7F0F" w14:textId="77777777">
      <w:pPr>
        <w:pStyle w:val="ListParagraph"/>
        <w:numPr>
          <w:ilvl w:val="0"/>
          <w:numId w:val="7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A111AD">
        <w:rPr>
          <w:rFonts w:ascii="Aptos" w:hAnsi="Aptos" w:cs="Segoe UI"/>
          <w:b/>
          <w:bCs/>
        </w:rPr>
        <w:t>Charge 25</w:t>
      </w:r>
      <w:r w:rsidRPr="00A111AD">
        <w:rPr>
          <w:rFonts w:ascii="Aptos" w:hAnsi="Aptos" w:cs="Segoe UI"/>
          <w:b/>
          <w:bCs/>
        </w:rPr>
        <w:noBreakHyphen/>
        <w:t>26.03 – Workload Unit (WLU) Release for Senate</w:t>
      </w:r>
    </w:p>
    <w:p w:rsidRPr="00A111AD" w:rsidR="00A111AD" w:rsidP="7767F937" w:rsidRDefault="00A111AD" w14:paraId="3FBC0161" w14:textId="10987E26">
      <w:pPr>
        <w:pStyle w:val="ListParagraph"/>
        <w:numPr>
          <w:ilvl w:val="1"/>
          <w:numId w:val="72"/>
        </w:numPr>
        <w:spacing w:before="100" w:beforeAutospacing="on" w:after="100" w:afterAutospacing="on"/>
        <w:outlineLvl w:val="2"/>
        <w:rPr>
          <w:rFonts w:ascii="Aptos" w:hAnsi="Aptos" w:cs="Segoe UI"/>
        </w:rPr>
      </w:pPr>
      <w:r w:rsidRPr="7767F937" w:rsidR="6EBE8D81">
        <w:rPr>
          <w:rFonts w:ascii="Aptos" w:hAnsi="Aptos" w:cs="Segoe UI"/>
        </w:rPr>
        <w:t xml:space="preserve">Due to </w:t>
      </w:r>
      <w:r w:rsidRPr="7767F937" w:rsidR="6EBE8D81">
        <w:rPr>
          <w:rFonts w:ascii="Aptos" w:hAnsi="Aptos" w:cs="Segoe UI"/>
        </w:rPr>
        <w:t>BFCC</w:t>
      </w:r>
      <w:r w:rsidRPr="7767F937" w:rsidR="6EBE8D81">
        <w:rPr>
          <w:rFonts w:ascii="Aptos" w:hAnsi="Aptos" w:cs="Segoe UI"/>
        </w:rPr>
        <w:t xml:space="preserve"> Chair’s </w:t>
      </w:r>
      <w:r w:rsidRPr="7767F937" w:rsidR="6EBE8D81">
        <w:rPr>
          <w:rFonts w:ascii="Aptos" w:hAnsi="Aptos" w:cs="Segoe UI"/>
        </w:rPr>
        <w:t xml:space="preserve">late communication with EC, limited </w:t>
      </w:r>
      <w:r w:rsidRPr="7767F937" w:rsidR="6EBE8D81">
        <w:rPr>
          <w:rFonts w:ascii="Aptos" w:hAnsi="Aptos" w:cs="Segoe UI"/>
        </w:rPr>
        <w:t>new information</w:t>
      </w:r>
      <w:r w:rsidRPr="7767F937" w:rsidR="6EBE8D81">
        <w:rPr>
          <w:rFonts w:ascii="Aptos" w:hAnsi="Aptos" w:cs="Segoe UI"/>
        </w:rPr>
        <w:t xml:space="preserve"> was available.</w:t>
      </w:r>
      <w:r w:rsidRPr="7767F937" w:rsidR="6EBE8D81">
        <w:rPr>
          <w:rFonts w:ascii="Aptos" w:hAnsi="Aptos" w:cs="Segoe UI"/>
        </w:rPr>
        <w:t xml:space="preserve"> This charge will be </w:t>
      </w:r>
      <w:r w:rsidRPr="7767F937" w:rsidR="6EBE8D81">
        <w:rPr>
          <w:rFonts w:ascii="Aptos" w:hAnsi="Aptos" w:cs="Segoe UI"/>
        </w:rPr>
        <w:t xml:space="preserve">returned </w:t>
      </w:r>
      <w:r w:rsidRPr="7767F937" w:rsidR="6EBE8D81">
        <w:rPr>
          <w:rFonts w:ascii="Aptos" w:hAnsi="Aptos" w:cs="Segoe UI"/>
        </w:rPr>
        <w:t>once BFCC receives answers to the questions sent to EC.</w:t>
      </w:r>
    </w:p>
    <w:p w:rsidR="00A111AD" w:rsidP="00A111AD" w:rsidRDefault="00A41814" w14:paraId="5145DE32" w14:textId="369356A3">
      <w:pPr>
        <w:pStyle w:val="ListParagraph"/>
        <w:numPr>
          <w:ilvl w:val="0"/>
          <w:numId w:val="7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A111AD">
        <w:rPr>
          <w:rFonts w:ascii="Aptos" w:hAnsi="Aptos" w:cs="Segoe UI"/>
          <w:b/>
          <w:bCs/>
        </w:rPr>
        <w:t>Charge 25</w:t>
      </w:r>
      <w:r w:rsidRPr="00A111AD">
        <w:rPr>
          <w:rFonts w:ascii="Aptos" w:hAnsi="Aptos" w:cs="Segoe UI"/>
          <w:b/>
          <w:bCs/>
        </w:rPr>
        <w:noBreakHyphen/>
        <w:t>26.0</w:t>
      </w:r>
      <w:r w:rsidRPr="00A111AD" w:rsidR="00A111AD">
        <w:rPr>
          <w:rFonts w:ascii="Aptos" w:hAnsi="Aptos" w:cs="Segoe UI"/>
          <w:b/>
          <w:bCs/>
        </w:rPr>
        <w:t>4</w:t>
      </w:r>
      <w:r w:rsidRPr="00A111AD">
        <w:rPr>
          <w:rFonts w:ascii="Aptos" w:hAnsi="Aptos" w:cs="Segoe UI"/>
          <w:b/>
          <w:bCs/>
        </w:rPr>
        <w:t xml:space="preserve"> – </w:t>
      </w:r>
      <w:r w:rsidRPr="00A111AD" w:rsidR="00A111AD">
        <w:rPr>
          <w:rFonts w:ascii="Aptos" w:hAnsi="Aptos" w:cs="Segoe UI"/>
          <w:b/>
          <w:bCs/>
        </w:rPr>
        <w:t>College Budget Committee Charge</w:t>
      </w:r>
    </w:p>
    <w:p w:rsidR="00A111AD" w:rsidP="00A111AD" w:rsidRDefault="00A111AD" w14:paraId="7EA037E7" w14:textId="1312FE83">
      <w:pPr>
        <w:pStyle w:val="ListParagraph"/>
        <w:numPr>
          <w:ilvl w:val="1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t>Status</w:t>
      </w:r>
      <w:r>
        <w:rPr>
          <w:rFonts w:ascii="Aptos" w:hAnsi="Aptos" w:cs="Segoe UI"/>
        </w:rPr>
        <w:t>/history</w:t>
      </w:r>
      <w:r w:rsidRPr="00A111AD">
        <w:rPr>
          <w:rFonts w:ascii="Aptos" w:hAnsi="Aptos" w:cs="Segoe UI"/>
        </w:rPr>
        <w:t xml:space="preserve"> of Committees:</w:t>
      </w:r>
      <w:r w:rsidRPr="00A111AD">
        <w:rPr>
          <w:rFonts w:ascii="Aptos" w:hAnsi="Aptos" w:cs="Segoe UI"/>
        </w:rPr>
        <w:t xml:space="preserve"> </w:t>
      </w:r>
    </w:p>
    <w:p w:rsidR="00A111AD" w:rsidP="00A111AD" w:rsidRDefault="00A111AD" w14:paraId="504433AB" w14:textId="55B79371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t>CBCs appear inconsistent across colleges</w:t>
      </w:r>
    </w:p>
    <w:p w:rsidRPr="00A111AD" w:rsidR="00A111AD" w:rsidP="00A111AD" w:rsidRDefault="00A111AD" w14:paraId="68D82430" w14:textId="569104A2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7767F937" w:rsidR="6EBE8D81">
        <w:rPr>
          <w:rFonts w:ascii="Aptos" w:hAnsi="Aptos" w:cs="Segoe UI"/>
        </w:rPr>
        <w:t xml:space="preserve">CBCs originated partly during the RCM era and under former provost </w:t>
      </w:r>
      <w:r w:rsidRPr="7767F937" w:rsidR="61DDE80D">
        <w:rPr>
          <w:rFonts w:ascii="Aptos" w:hAnsi="Aptos" w:cs="Segoe UI"/>
        </w:rPr>
        <w:t>K</w:t>
      </w:r>
      <w:r w:rsidRPr="7767F937" w:rsidR="6EBE8D81">
        <w:rPr>
          <w:rFonts w:ascii="Aptos" w:hAnsi="Aptos" w:cs="Segoe UI"/>
        </w:rPr>
        <w:t>atherine Frank; they were intended to ensure faculty participation in college</w:t>
      </w:r>
      <w:r w:rsidRPr="7767F937" w:rsidR="7A533E04">
        <w:rPr>
          <w:rFonts w:ascii="Aptos" w:hAnsi="Aptos" w:cs="Segoe UI"/>
        </w:rPr>
        <w:t xml:space="preserve"> </w:t>
      </w:r>
      <w:r w:rsidRPr="7767F937" w:rsidR="6EBE8D81">
        <w:rPr>
          <w:rFonts w:ascii="Aptos" w:hAnsi="Aptos" w:cs="Segoe UI"/>
        </w:rPr>
        <w:t>level budgeting.</w:t>
      </w:r>
    </w:p>
    <w:p w:rsidRPr="00A111AD" w:rsidR="00A111AD" w:rsidP="00A111AD" w:rsidRDefault="00A111AD" w14:paraId="33572E0A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t>The committee noted the benefit of providing contextual information to BPC as it re</w:t>
      </w:r>
      <w:r w:rsidRPr="00A111AD">
        <w:rPr>
          <w:rFonts w:ascii="Aptos" w:hAnsi="Aptos" w:cs="Segoe UI"/>
        </w:rPr>
        <w:noBreakHyphen/>
        <w:t>establishes itself.</w:t>
      </w:r>
    </w:p>
    <w:p w:rsidRPr="00A111AD" w:rsidR="00A111AD" w:rsidP="00A111AD" w:rsidRDefault="00A111AD" w14:paraId="2708B365" w14:textId="77777777">
      <w:pPr>
        <w:pStyle w:val="ListParagraph"/>
        <w:numPr>
          <w:ilvl w:val="1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lastRenderedPageBreak/>
        <w:t>The committee identified several clerical and substantive issues in the appendix text:</w:t>
      </w:r>
    </w:p>
    <w:p w:rsidRPr="00A111AD" w:rsidR="00A111AD" w:rsidP="00A111AD" w:rsidRDefault="00A111AD" w14:paraId="13D6EB08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t>Missing definition sentence under “Definitions.”</w:t>
      </w:r>
    </w:p>
    <w:p w:rsidRPr="00A111AD" w:rsidR="00A111AD" w:rsidP="00A111AD" w:rsidRDefault="00A111AD" w14:paraId="3703545E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t xml:space="preserve">Incorrect or unclear section references (e.g., referring to section “1D” instead of </w:t>
      </w:r>
      <w:r w:rsidRPr="00A111AD">
        <w:rPr>
          <w:rFonts w:ascii="Aptos" w:hAnsi="Aptos" w:cs="Segoe UI"/>
          <w:b/>
          <w:bCs/>
        </w:rPr>
        <w:t>2D</w:t>
      </w:r>
      <w:r w:rsidRPr="00A111AD">
        <w:rPr>
          <w:rFonts w:ascii="Aptos" w:hAnsi="Aptos" w:cs="Segoe UI"/>
        </w:rPr>
        <w:t>).</w:t>
      </w:r>
    </w:p>
    <w:p w:rsidRPr="00A111AD" w:rsidR="00A111AD" w:rsidP="00A111AD" w:rsidRDefault="00A111AD" w14:paraId="15C87869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  <w:lang w:val="fr-FR"/>
        </w:rPr>
      </w:pPr>
      <w:proofErr w:type="spellStart"/>
      <w:r w:rsidRPr="00A111AD">
        <w:rPr>
          <w:rFonts w:ascii="Aptos" w:hAnsi="Aptos" w:cs="Segoe UI"/>
          <w:lang w:val="fr-FR"/>
        </w:rPr>
        <w:t>Confusing</w:t>
      </w:r>
      <w:proofErr w:type="spellEnd"/>
      <w:r w:rsidRPr="00A111AD">
        <w:rPr>
          <w:rFonts w:ascii="Aptos" w:hAnsi="Aptos" w:cs="Segoe UI"/>
          <w:lang w:val="fr-FR"/>
        </w:rPr>
        <w:t xml:space="preserve"> or vague </w:t>
      </w:r>
      <w:proofErr w:type="spellStart"/>
      <w:r w:rsidRPr="00A111AD">
        <w:rPr>
          <w:rFonts w:ascii="Aptos" w:hAnsi="Aptos" w:cs="Segoe UI"/>
          <w:lang w:val="fr-FR"/>
        </w:rPr>
        <w:t>terminology</w:t>
      </w:r>
      <w:proofErr w:type="spellEnd"/>
      <w:r w:rsidRPr="00A111AD">
        <w:rPr>
          <w:rFonts w:ascii="Aptos" w:hAnsi="Aptos" w:cs="Segoe UI"/>
          <w:lang w:val="fr-FR"/>
        </w:rPr>
        <w:t xml:space="preserve"> (“</w:t>
      </w:r>
      <w:proofErr w:type="spellStart"/>
      <w:r w:rsidRPr="00A111AD">
        <w:rPr>
          <w:rFonts w:ascii="Aptos" w:hAnsi="Aptos" w:cs="Segoe UI"/>
          <w:lang w:val="fr-FR"/>
        </w:rPr>
        <w:t>larger</w:t>
      </w:r>
      <w:proofErr w:type="spellEnd"/>
      <w:r w:rsidRPr="00A111AD">
        <w:rPr>
          <w:rFonts w:ascii="Aptos" w:hAnsi="Aptos" w:cs="Segoe UI"/>
          <w:lang w:val="fr-FR"/>
        </w:rPr>
        <w:t xml:space="preserve"> questions,” “unit”).</w:t>
      </w:r>
    </w:p>
    <w:p w:rsidRPr="00A111AD" w:rsidR="00A111AD" w:rsidP="00A111AD" w:rsidRDefault="00A111AD" w14:paraId="257C58A9" w14:textId="77777777">
      <w:pPr>
        <w:pStyle w:val="ListParagraph"/>
        <w:numPr>
          <w:ilvl w:val="1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t>Potential Revisions:</w:t>
      </w:r>
    </w:p>
    <w:p w:rsidRPr="00A111AD" w:rsidR="00A111AD" w:rsidP="00A111AD" w:rsidRDefault="00A111AD" w14:paraId="2E6217BF" w14:textId="55852612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7767F937" w:rsidR="6EBE8D81">
        <w:rPr>
          <w:rFonts w:ascii="Aptos" w:hAnsi="Aptos" w:cs="Segoe UI"/>
        </w:rPr>
        <w:t>Replace “larger questions” with more precise “inter</w:t>
      </w:r>
      <w:r w:rsidRPr="7767F937" w:rsidR="6EBE8D81">
        <w:rPr>
          <w:rFonts w:ascii="Aptos" w:hAnsi="Aptos" w:cs="Segoe UI"/>
        </w:rPr>
        <w:t>/extra</w:t>
      </w:r>
      <w:r w:rsidRPr="7767F937" w:rsidR="79F6EFBD">
        <w:rPr>
          <w:rFonts w:ascii="Aptos" w:hAnsi="Aptos" w:cs="Segoe UI"/>
        </w:rPr>
        <w:t>-</w:t>
      </w:r>
      <w:r w:rsidRPr="7767F937" w:rsidR="6EBE8D81">
        <w:rPr>
          <w:rFonts w:ascii="Aptos" w:hAnsi="Aptos" w:cs="Segoe UI"/>
        </w:rPr>
        <w:t>collegial questions.”</w:t>
      </w:r>
    </w:p>
    <w:p w:rsidRPr="00A111AD" w:rsidR="00A111AD" w:rsidP="00A111AD" w:rsidRDefault="00A111AD" w14:paraId="0435D7C0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t>Remove or revise inaccurate uses of “shared governance” in the AAUP reference.</w:t>
      </w:r>
    </w:p>
    <w:p w:rsidRPr="00A111AD" w:rsidR="00EB2103" w:rsidP="00A111AD" w:rsidRDefault="00A111AD" w14:paraId="42BEB31D" w14:textId="08E6F9C3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A111AD">
        <w:rPr>
          <w:rFonts w:ascii="Aptos" w:hAnsi="Aptos" w:cs="Segoe UI"/>
        </w:rPr>
        <w:t>Update references to code sections for accuracy.</w:t>
      </w:r>
    </w:p>
    <w:p w:rsidR="00846CAC" w:rsidP="000D6D52" w:rsidRDefault="00846CAC" w14:paraId="6B1E3F3A" w14:textId="33D58856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:rsidR="00A41814" w:rsidP="00846CAC" w:rsidRDefault="008E15EC" w14:paraId="1E7E3473" w14:textId="47EFE18F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Hope will </w:t>
      </w:r>
      <w:r w:rsidR="00A111AD">
        <w:rPr>
          <w:rFonts w:ascii="Aptos" w:hAnsi="Aptos" w:cs="Segoe UI"/>
        </w:rPr>
        <w:t>remind EC of</w:t>
      </w:r>
      <w:r w:rsidR="00A41814">
        <w:rPr>
          <w:rFonts w:ascii="Aptos" w:hAnsi="Aptos" w:cs="Segoe UI"/>
        </w:rPr>
        <w:t xml:space="preserve"> follow-up questions with regard to BFCC 25-26.03</w:t>
      </w:r>
    </w:p>
    <w:p w:rsidRPr="00A41814" w:rsidR="00846CAC" w:rsidP="000D6D52" w:rsidRDefault="00A41814" w14:paraId="05DEB0B7" w14:textId="73528003">
      <w:pPr>
        <w:pStyle w:val="ListParagraph"/>
        <w:numPr>
          <w:ilvl w:val="0"/>
          <w:numId w:val="58"/>
        </w:numPr>
        <w:rPr>
          <w:rFonts w:ascii="Aptos" w:hAnsi="Aptos" w:cs="Segoe UI"/>
          <w:b/>
          <w:bCs/>
        </w:rPr>
      </w:pPr>
      <w:r w:rsidRPr="00A41814">
        <w:rPr>
          <w:rFonts w:ascii="Aptos" w:hAnsi="Aptos" w:cs="Segoe UI"/>
        </w:rPr>
        <w:t xml:space="preserve">Hope will </w:t>
      </w:r>
      <w:r w:rsidR="00A111AD">
        <w:rPr>
          <w:rFonts w:ascii="Aptos" w:hAnsi="Aptos" w:cs="Segoe UI"/>
        </w:rPr>
        <w:t xml:space="preserve">craft a motion to address CBC language issues in Code, to circulate to BFCC. </w:t>
      </w:r>
    </w:p>
    <w:p w:rsidRPr="00A41814" w:rsidR="00A41814" w:rsidP="00A41814" w:rsidRDefault="00A41814" w14:paraId="48E3F796" w14:textId="77777777">
      <w:pPr>
        <w:pStyle w:val="ListParagraph"/>
        <w:rPr>
          <w:rFonts w:ascii="Aptos" w:hAnsi="Aptos" w:cs="Segoe UI"/>
          <w:b/>
          <w:bCs/>
        </w:rPr>
      </w:pPr>
    </w:p>
    <w:p w:rsidRPr="0004089D" w:rsidR="002F0217" w:rsidP="000D6D52" w:rsidRDefault="002F0217" w14:paraId="1BAF4FE0" w14:textId="0AEECA97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:rsidRPr="0004089D" w:rsidR="000D6D52" w:rsidP="000D6D52" w:rsidRDefault="002F0217" w14:paraId="21DD16FF" w14:textId="727F7DCD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2:0</w:t>
      </w:r>
      <w:r w:rsidR="00A111AD">
        <w:rPr>
          <w:rFonts w:ascii="Aptos" w:hAnsi="Aptos"/>
        </w:rPr>
        <w:t>0</w:t>
      </w:r>
      <w:r w:rsidR="008E15EC">
        <w:rPr>
          <w:rFonts w:ascii="Aptos" w:hAnsi="Aptos"/>
        </w:rPr>
        <w:t xml:space="preserve"> </w:t>
      </w:r>
      <w:r w:rsidRPr="0004089D" w:rsidR="00F443C5">
        <w:rPr>
          <w:rFonts w:ascii="Aptos" w:hAnsi="Aptos"/>
        </w:rPr>
        <w:t>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820039A"/>
    <w:multiLevelType w:val="multilevel"/>
    <w:tmpl w:val="9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448C0149"/>
    <w:multiLevelType w:val="hybridMultilevel"/>
    <w:tmpl w:val="91D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F869F8"/>
    <w:multiLevelType w:val="hybridMultilevel"/>
    <w:tmpl w:val="3490FB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64C10CB9"/>
    <w:multiLevelType w:val="multilevel"/>
    <w:tmpl w:val="96F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793249C2"/>
    <w:multiLevelType w:val="multilevel"/>
    <w:tmpl w:val="AC5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9B2743B"/>
    <w:multiLevelType w:val="multilevel"/>
    <w:tmpl w:val="920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1"/>
  </w:num>
  <w:num w:numId="2" w16cid:durableId="875312597">
    <w:abstractNumId w:val="67"/>
  </w:num>
  <w:num w:numId="3" w16cid:durableId="537202337">
    <w:abstractNumId w:val="62"/>
  </w:num>
  <w:num w:numId="4" w16cid:durableId="1157383018">
    <w:abstractNumId w:val="51"/>
  </w:num>
  <w:num w:numId="5" w16cid:durableId="1118259916">
    <w:abstractNumId w:val="74"/>
  </w:num>
  <w:num w:numId="6" w16cid:durableId="1667055404">
    <w:abstractNumId w:val="39"/>
  </w:num>
  <w:num w:numId="7" w16cid:durableId="43649315">
    <w:abstractNumId w:val="11"/>
  </w:num>
  <w:num w:numId="8" w16cid:durableId="390423863">
    <w:abstractNumId w:val="43"/>
  </w:num>
  <w:num w:numId="9" w16cid:durableId="542981686">
    <w:abstractNumId w:val="58"/>
  </w:num>
  <w:num w:numId="10" w16cid:durableId="279188692">
    <w:abstractNumId w:val="32"/>
  </w:num>
  <w:num w:numId="11" w16cid:durableId="1054354731">
    <w:abstractNumId w:val="73"/>
  </w:num>
  <w:num w:numId="12" w16cid:durableId="830876385">
    <w:abstractNumId w:val="54"/>
  </w:num>
  <w:num w:numId="13" w16cid:durableId="465661884">
    <w:abstractNumId w:val="31"/>
  </w:num>
  <w:num w:numId="14" w16cid:durableId="1507482208">
    <w:abstractNumId w:val="46"/>
  </w:num>
  <w:num w:numId="15" w16cid:durableId="1093669706">
    <w:abstractNumId w:val="27"/>
  </w:num>
  <w:num w:numId="16" w16cid:durableId="1288313937">
    <w:abstractNumId w:val="6"/>
  </w:num>
  <w:num w:numId="17" w16cid:durableId="1019770771">
    <w:abstractNumId w:val="14"/>
  </w:num>
  <w:num w:numId="18" w16cid:durableId="1404376884">
    <w:abstractNumId w:val="44"/>
  </w:num>
  <w:num w:numId="19" w16cid:durableId="1318652021">
    <w:abstractNumId w:val="17"/>
  </w:num>
  <w:num w:numId="20" w16cid:durableId="1479303709">
    <w:abstractNumId w:val="28"/>
  </w:num>
  <w:num w:numId="21" w16cid:durableId="795870592">
    <w:abstractNumId w:val="18"/>
  </w:num>
  <w:num w:numId="22" w16cid:durableId="447698770">
    <w:abstractNumId w:val="60"/>
  </w:num>
  <w:num w:numId="23" w16cid:durableId="1234045582">
    <w:abstractNumId w:val="19"/>
  </w:num>
  <w:num w:numId="24" w16cid:durableId="626550297">
    <w:abstractNumId w:val="20"/>
  </w:num>
  <w:num w:numId="25" w16cid:durableId="246960549">
    <w:abstractNumId w:val="65"/>
  </w:num>
  <w:num w:numId="26" w16cid:durableId="1485315185">
    <w:abstractNumId w:val="3"/>
  </w:num>
  <w:num w:numId="27" w16cid:durableId="1933271369">
    <w:abstractNumId w:val="63"/>
  </w:num>
  <w:num w:numId="28" w16cid:durableId="757019809">
    <w:abstractNumId w:val="40"/>
  </w:num>
  <w:num w:numId="29" w16cid:durableId="751660941">
    <w:abstractNumId w:val="68"/>
  </w:num>
  <w:num w:numId="30" w16cid:durableId="286543810">
    <w:abstractNumId w:val="12"/>
  </w:num>
  <w:num w:numId="31" w16cid:durableId="738134014">
    <w:abstractNumId w:val="71"/>
  </w:num>
  <w:num w:numId="32" w16cid:durableId="1705251826">
    <w:abstractNumId w:val="56"/>
  </w:num>
  <w:num w:numId="33" w16cid:durableId="240793286">
    <w:abstractNumId w:val="75"/>
  </w:num>
  <w:num w:numId="34" w16cid:durableId="1854028093">
    <w:abstractNumId w:val="37"/>
  </w:num>
  <w:num w:numId="35" w16cid:durableId="1739791651">
    <w:abstractNumId w:val="66"/>
  </w:num>
  <w:num w:numId="36" w16cid:durableId="110367550">
    <w:abstractNumId w:val="47"/>
  </w:num>
  <w:num w:numId="37" w16cid:durableId="1553230343">
    <w:abstractNumId w:val="50"/>
  </w:num>
  <w:num w:numId="38" w16cid:durableId="1134324957">
    <w:abstractNumId w:val="25"/>
  </w:num>
  <w:num w:numId="39" w16cid:durableId="178012315">
    <w:abstractNumId w:val="48"/>
  </w:num>
  <w:num w:numId="40" w16cid:durableId="1333490092">
    <w:abstractNumId w:val="24"/>
  </w:num>
  <w:num w:numId="41" w16cid:durableId="949975309">
    <w:abstractNumId w:val="13"/>
  </w:num>
  <w:num w:numId="42" w16cid:durableId="91439136">
    <w:abstractNumId w:val="30"/>
  </w:num>
  <w:num w:numId="43" w16cid:durableId="1052728342">
    <w:abstractNumId w:val="7"/>
  </w:num>
  <w:num w:numId="44" w16cid:durableId="826239669">
    <w:abstractNumId w:val="2"/>
  </w:num>
  <w:num w:numId="45" w16cid:durableId="661085703">
    <w:abstractNumId w:val="42"/>
  </w:num>
  <w:num w:numId="46" w16cid:durableId="730426503">
    <w:abstractNumId w:val="59"/>
  </w:num>
  <w:num w:numId="47" w16cid:durableId="1073434085">
    <w:abstractNumId w:val="8"/>
  </w:num>
  <w:num w:numId="48" w16cid:durableId="1313024861">
    <w:abstractNumId w:val="5"/>
  </w:num>
  <w:num w:numId="49" w16cid:durableId="195506541">
    <w:abstractNumId w:val="10"/>
  </w:num>
  <w:num w:numId="50" w16cid:durableId="2125078406">
    <w:abstractNumId w:val="57"/>
  </w:num>
  <w:num w:numId="51" w16cid:durableId="825165690">
    <w:abstractNumId w:val="26"/>
  </w:num>
  <w:num w:numId="52" w16cid:durableId="479930924">
    <w:abstractNumId w:val="49"/>
  </w:num>
  <w:num w:numId="53" w16cid:durableId="1188325679">
    <w:abstractNumId w:val="4"/>
  </w:num>
  <w:num w:numId="54" w16cid:durableId="1395347220">
    <w:abstractNumId w:val="15"/>
  </w:num>
  <w:num w:numId="55" w16cid:durableId="62682844">
    <w:abstractNumId w:val="16"/>
  </w:num>
  <w:num w:numId="56" w16cid:durableId="1114062450">
    <w:abstractNumId w:val="53"/>
  </w:num>
  <w:num w:numId="57" w16cid:durableId="1521043667">
    <w:abstractNumId w:val="34"/>
  </w:num>
  <w:num w:numId="58" w16cid:durableId="22289761">
    <w:abstractNumId w:val="45"/>
  </w:num>
  <w:num w:numId="59" w16cid:durableId="169218347">
    <w:abstractNumId w:val="38"/>
  </w:num>
  <w:num w:numId="60" w16cid:durableId="2107384316">
    <w:abstractNumId w:val="52"/>
  </w:num>
  <w:num w:numId="61" w16cid:durableId="1131483906">
    <w:abstractNumId w:val="61"/>
  </w:num>
  <w:num w:numId="62" w16cid:durableId="88935036">
    <w:abstractNumId w:val="35"/>
  </w:num>
  <w:num w:numId="63" w16cid:durableId="1160391876">
    <w:abstractNumId w:val="9"/>
  </w:num>
  <w:num w:numId="64" w16cid:durableId="1589846581">
    <w:abstractNumId w:val="64"/>
  </w:num>
  <w:num w:numId="65" w16cid:durableId="1845245851">
    <w:abstractNumId w:val="0"/>
  </w:num>
  <w:num w:numId="66" w16cid:durableId="1526017084">
    <w:abstractNumId w:val="23"/>
  </w:num>
  <w:num w:numId="67" w16cid:durableId="946351334">
    <w:abstractNumId w:val="29"/>
  </w:num>
  <w:num w:numId="68" w16cid:durableId="646976838">
    <w:abstractNumId w:val="41"/>
  </w:num>
  <w:num w:numId="69" w16cid:durableId="631980712">
    <w:abstractNumId w:val="33"/>
  </w:num>
  <w:num w:numId="70" w16cid:durableId="1825195082">
    <w:abstractNumId w:val="22"/>
  </w:num>
  <w:num w:numId="71" w16cid:durableId="175583056">
    <w:abstractNumId w:val="72"/>
  </w:num>
  <w:num w:numId="72" w16cid:durableId="1901671011">
    <w:abstractNumId w:val="36"/>
  </w:num>
  <w:num w:numId="73" w16cid:durableId="609239865">
    <w:abstractNumId w:val="69"/>
  </w:num>
  <w:num w:numId="74" w16cid:durableId="1274240853">
    <w:abstractNumId w:val="21"/>
  </w:num>
  <w:num w:numId="75" w16cid:durableId="1659532780">
    <w:abstractNumId w:val="70"/>
  </w:num>
  <w:num w:numId="76" w16cid:durableId="543441290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83443"/>
    <w:rsid w:val="001B5BB0"/>
    <w:rsid w:val="002106A9"/>
    <w:rsid w:val="00230D39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44C91"/>
    <w:rsid w:val="0045405C"/>
    <w:rsid w:val="004A5001"/>
    <w:rsid w:val="004F4EA9"/>
    <w:rsid w:val="005355FD"/>
    <w:rsid w:val="005579D9"/>
    <w:rsid w:val="00597F46"/>
    <w:rsid w:val="005F0390"/>
    <w:rsid w:val="006C6C86"/>
    <w:rsid w:val="00717815"/>
    <w:rsid w:val="00717CAE"/>
    <w:rsid w:val="00763DBB"/>
    <w:rsid w:val="007757F5"/>
    <w:rsid w:val="00793E78"/>
    <w:rsid w:val="007F170D"/>
    <w:rsid w:val="0081708C"/>
    <w:rsid w:val="00846CAC"/>
    <w:rsid w:val="008E15EC"/>
    <w:rsid w:val="00930E1E"/>
    <w:rsid w:val="00963678"/>
    <w:rsid w:val="00970D2C"/>
    <w:rsid w:val="009B2D9D"/>
    <w:rsid w:val="009C7D49"/>
    <w:rsid w:val="009D5503"/>
    <w:rsid w:val="00A01347"/>
    <w:rsid w:val="00A111AD"/>
    <w:rsid w:val="00A41814"/>
    <w:rsid w:val="00A57744"/>
    <w:rsid w:val="00AE51AD"/>
    <w:rsid w:val="00AF556C"/>
    <w:rsid w:val="00B27569"/>
    <w:rsid w:val="00B74405"/>
    <w:rsid w:val="00BA275C"/>
    <w:rsid w:val="00C11ACD"/>
    <w:rsid w:val="00CC4C5A"/>
    <w:rsid w:val="00D32C42"/>
    <w:rsid w:val="00D627F9"/>
    <w:rsid w:val="00DD3C5C"/>
    <w:rsid w:val="00DE2238"/>
    <w:rsid w:val="00EB2103"/>
    <w:rsid w:val="00F318DE"/>
    <w:rsid w:val="00F443C5"/>
    <w:rsid w:val="00FE6819"/>
    <w:rsid w:val="3D2674F8"/>
    <w:rsid w:val="61DDE80D"/>
    <w:rsid w:val="6EBE8D81"/>
    <w:rsid w:val="7767F937"/>
    <w:rsid w:val="79F6EFBD"/>
    <w:rsid w:val="7A53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443C5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7C49F-49AA-4523-A380-47AFF031811D}"/>
</file>

<file path=customXml/itemProps2.xml><?xml version="1.0" encoding="utf-8"?>
<ds:datastoreItem xmlns:ds="http://schemas.openxmlformats.org/officeDocument/2006/customXml" ds:itemID="{91A8187F-F8C7-4243-97DD-35453C75FE05}"/>
</file>

<file path=customXml/itemProps3.xml><?xml version="1.0" encoding="utf-8"?>
<ds:datastoreItem xmlns:ds="http://schemas.openxmlformats.org/officeDocument/2006/customXml" ds:itemID="{EFC85011-EA2F-417F-B978-64929C5B5E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Hope Amason</dc:creator>
  <keywords/>
  <dc:description/>
  <lastModifiedBy>Hope Amason</lastModifiedBy>
  <revision>3</revision>
  <dcterms:created xsi:type="dcterms:W3CDTF">2026-03-02T13:40:00.0000000Z</dcterms:created>
  <dcterms:modified xsi:type="dcterms:W3CDTF">2026-03-03T21:05:26.9483859Z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