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6658" w14:textId="77777777" w:rsidR="000A2602" w:rsidRPr="00417FAC" w:rsidRDefault="000A2602" w:rsidP="000A2602">
      <w:pPr>
        <w:rPr>
          <w:b/>
          <w:bCs/>
          <w:sz w:val="28"/>
          <w:szCs w:val="28"/>
        </w:rPr>
      </w:pPr>
      <w:r w:rsidRPr="00417FAC">
        <w:rPr>
          <w:b/>
          <w:bCs/>
          <w:sz w:val="28"/>
          <w:szCs w:val="28"/>
        </w:rPr>
        <w:t>Q&amp;A</w:t>
      </w:r>
    </w:p>
    <w:p w14:paraId="06D2FC8A" w14:textId="77777777" w:rsidR="000A2602" w:rsidRPr="00316386" w:rsidRDefault="000A2602" w:rsidP="000A2602">
      <w:pPr>
        <w:rPr>
          <w:b/>
          <w:bCs/>
          <w:i/>
          <w:iCs/>
        </w:rPr>
      </w:pPr>
      <w:r w:rsidRPr="00316386">
        <w:rPr>
          <w:b/>
          <w:bCs/>
          <w:i/>
          <w:iCs/>
        </w:rPr>
        <w:t xml:space="preserve">What is the purpose of </w:t>
      </w:r>
      <w:r>
        <w:rPr>
          <w:b/>
          <w:bCs/>
          <w:i/>
          <w:iCs/>
        </w:rPr>
        <w:t xml:space="preserve">the </w:t>
      </w:r>
      <w:r w:rsidRPr="00316386">
        <w:rPr>
          <w:b/>
          <w:bCs/>
          <w:i/>
          <w:iCs/>
        </w:rPr>
        <w:t>General Education SLOs assessment?</w:t>
      </w:r>
    </w:p>
    <w:p w14:paraId="672EE0F2" w14:textId="77777777" w:rsidR="000A2602" w:rsidRDefault="000A2602" w:rsidP="000A2602">
      <w:pPr>
        <w:ind w:left="720"/>
      </w:pPr>
      <w:r w:rsidRPr="002F6281">
        <w:t>The General Education assessment looks at diverse samples of student coursework across disciplines to assess the overall effectiveness of the General Education program. Only the aggregated data are included in the assessment report, and neither an individual course nor an individual student is assessed on its own.</w:t>
      </w:r>
    </w:p>
    <w:p w14:paraId="0C788134" w14:textId="77777777" w:rsidR="000A2602" w:rsidRPr="00316386" w:rsidRDefault="000A2602" w:rsidP="000A2602">
      <w:pPr>
        <w:rPr>
          <w:b/>
          <w:bCs/>
          <w:i/>
          <w:iCs/>
        </w:rPr>
      </w:pPr>
      <w:r w:rsidRPr="00316386">
        <w:rPr>
          <w:b/>
          <w:bCs/>
          <w:i/>
          <w:iCs/>
        </w:rPr>
        <w:t>Which areas will be assessed for AY 2023</w:t>
      </w:r>
      <w:r>
        <w:rPr>
          <w:rFonts w:cstheme="minorHAnsi"/>
          <w:b/>
          <w:bCs/>
          <w:i/>
          <w:iCs/>
        </w:rPr>
        <w:t>–</w:t>
      </w:r>
      <w:r w:rsidRPr="00316386">
        <w:rPr>
          <w:b/>
          <w:bCs/>
          <w:i/>
          <w:iCs/>
        </w:rPr>
        <w:t>24?</w:t>
      </w:r>
    </w:p>
    <w:p w14:paraId="060160D7" w14:textId="77777777" w:rsidR="000A2602" w:rsidRDefault="000A2602" w:rsidP="000A2602">
      <w:pPr>
        <w:ind w:firstLine="720"/>
      </w:pPr>
      <w:r>
        <w:t>Academic Writing (AW) 1, K4, K5, and K6 will be assessed.</w:t>
      </w:r>
    </w:p>
    <w:p w14:paraId="7DECCD60" w14:textId="77777777" w:rsidR="000A2602" w:rsidRPr="00316386" w:rsidRDefault="000A2602" w:rsidP="000A2602">
      <w:pPr>
        <w:rPr>
          <w:b/>
          <w:bCs/>
          <w:i/>
          <w:iCs/>
        </w:rPr>
      </w:pPr>
      <w:r w:rsidRPr="00316386">
        <w:rPr>
          <w:b/>
          <w:bCs/>
          <w:i/>
          <w:iCs/>
        </w:rPr>
        <w:t>Where can I find the SLOs for this year’s assessment?</w:t>
      </w:r>
    </w:p>
    <w:p w14:paraId="008FE1B3" w14:textId="77777777" w:rsidR="000A2602" w:rsidRDefault="000A2602" w:rsidP="000A2602">
      <w:pPr>
        <w:ind w:firstLine="720"/>
      </w:pPr>
      <w:r w:rsidRPr="00C25CF5">
        <w:t xml:space="preserve">The SLOs for </w:t>
      </w:r>
      <w:r>
        <w:t xml:space="preserve">each specific knowledge area </w:t>
      </w:r>
      <w:r w:rsidRPr="00C25CF5">
        <w:t>can be found online</w:t>
      </w:r>
      <w:r>
        <w:t>.</w:t>
      </w:r>
    </w:p>
    <w:p w14:paraId="2AD25364" w14:textId="77777777" w:rsidR="000A2602" w:rsidRDefault="000A2602" w:rsidP="000A2602">
      <w:pPr>
        <w:ind w:firstLine="720"/>
      </w:pPr>
      <w:r w:rsidRPr="00316386">
        <w:rPr>
          <w:b/>
          <w:bCs/>
        </w:rPr>
        <w:t>Knowledge Areas</w:t>
      </w:r>
      <w:r w:rsidRPr="002F6281">
        <w:rPr>
          <w:b/>
          <w:bCs/>
        </w:rPr>
        <w:t>:</w:t>
      </w:r>
      <w:r>
        <w:t xml:space="preserve"> </w:t>
      </w:r>
      <w:hyperlink r:id="rId5" w:history="1">
        <w:r w:rsidRPr="009370DF">
          <w:rPr>
            <w:rStyle w:val="Hyperlink"/>
          </w:rPr>
          <w:t>Link</w:t>
        </w:r>
      </w:hyperlink>
    </w:p>
    <w:p w14:paraId="61D5E21E" w14:textId="77777777" w:rsidR="000A2602" w:rsidRDefault="000A2602" w:rsidP="000A2602">
      <w:pPr>
        <w:ind w:firstLine="720"/>
      </w:pPr>
      <w:r w:rsidRPr="00316386">
        <w:rPr>
          <w:b/>
          <w:bCs/>
        </w:rPr>
        <w:t>Academic Writing 1</w:t>
      </w:r>
      <w:r w:rsidRPr="002F6281">
        <w:rPr>
          <w:b/>
          <w:bCs/>
        </w:rPr>
        <w:t>:</w:t>
      </w:r>
      <w:r>
        <w:t xml:space="preserve"> </w:t>
      </w:r>
      <w:hyperlink r:id="rId6" w:anchor="accordion-f778a94d-cedd-449c-97c1-a9c8e4b3e8d3-1" w:history="1">
        <w:r w:rsidRPr="009370DF">
          <w:rPr>
            <w:rStyle w:val="Hyperlink"/>
          </w:rPr>
          <w:t>Link</w:t>
        </w:r>
      </w:hyperlink>
    </w:p>
    <w:p w14:paraId="6550867B" w14:textId="77777777" w:rsidR="000A2602" w:rsidRPr="00316386" w:rsidRDefault="000A2602" w:rsidP="000A2602">
      <w:pPr>
        <w:rPr>
          <w:b/>
          <w:bCs/>
          <w:i/>
          <w:iCs/>
        </w:rPr>
      </w:pPr>
      <w:r w:rsidRPr="00316386">
        <w:rPr>
          <w:b/>
          <w:bCs/>
          <w:i/>
          <w:iCs/>
        </w:rPr>
        <w:t xml:space="preserve">What happened to the </w:t>
      </w:r>
      <w:r>
        <w:rPr>
          <w:b/>
          <w:bCs/>
          <w:i/>
          <w:iCs/>
        </w:rPr>
        <w:t>student work samples</w:t>
      </w:r>
      <w:r w:rsidRPr="00316386">
        <w:rPr>
          <w:b/>
          <w:bCs/>
          <w:i/>
          <w:iCs/>
        </w:rPr>
        <w:t xml:space="preserve"> I submitted to?</w:t>
      </w:r>
    </w:p>
    <w:p w14:paraId="5D43FC4A" w14:textId="77777777" w:rsidR="000A2602" w:rsidRPr="000F1939" w:rsidRDefault="000A2602" w:rsidP="000A2602">
      <w:pPr>
        <w:ind w:left="720"/>
      </w:pPr>
      <w:r>
        <w:t>The student artifacts will be archived in the General Education assessment folder for NWCCU accreditation purposes. Those will not be shared for any other purpose.</w:t>
      </w:r>
    </w:p>
    <w:p w14:paraId="14329A65" w14:textId="77777777" w:rsidR="000A2602" w:rsidRPr="00316386" w:rsidRDefault="000A2602" w:rsidP="000A2602">
      <w:pPr>
        <w:rPr>
          <w:b/>
          <w:bCs/>
          <w:i/>
          <w:iCs/>
        </w:rPr>
      </w:pPr>
      <w:r w:rsidRPr="00316386">
        <w:rPr>
          <w:b/>
          <w:bCs/>
          <w:i/>
          <w:iCs/>
        </w:rPr>
        <w:t xml:space="preserve">How </w:t>
      </w:r>
      <w:r>
        <w:rPr>
          <w:b/>
          <w:bCs/>
          <w:i/>
          <w:iCs/>
        </w:rPr>
        <w:t xml:space="preserve">will </w:t>
      </w:r>
      <w:r w:rsidRPr="00316386">
        <w:rPr>
          <w:b/>
          <w:bCs/>
          <w:i/>
          <w:iCs/>
        </w:rPr>
        <w:t>the finding</w:t>
      </w:r>
      <w:r>
        <w:rPr>
          <w:b/>
          <w:bCs/>
          <w:i/>
          <w:iCs/>
        </w:rPr>
        <w:t>s</w:t>
      </w:r>
      <w:r w:rsidRPr="00316386">
        <w:rPr>
          <w:b/>
          <w:bCs/>
          <w:i/>
          <w:iCs/>
        </w:rPr>
        <w:t xml:space="preserve"> be shared?</w:t>
      </w:r>
    </w:p>
    <w:p w14:paraId="3B04CF5A" w14:textId="77777777" w:rsidR="00593CFE" w:rsidRDefault="000A2602" w:rsidP="00593CFE">
      <w:pPr>
        <w:ind w:left="720"/>
      </w:pPr>
      <w:r>
        <w:t xml:space="preserve">We will share the findings with the General Education Committee and the ADCO. </w:t>
      </w:r>
      <w:r w:rsidR="00593CFE" w:rsidRPr="00593CFE">
        <w:t>We will share the findings with the General Education Committee and the ADCO. The reports will be also posted on the General Education website.</w:t>
      </w:r>
    </w:p>
    <w:p w14:paraId="377FDBD5" w14:textId="671F68D0" w:rsidR="000A2602" w:rsidRPr="00316386" w:rsidRDefault="000A2602" w:rsidP="00593CFE">
      <w:pPr>
        <w:rPr>
          <w:b/>
          <w:bCs/>
          <w:i/>
          <w:iCs/>
        </w:rPr>
      </w:pPr>
      <w:r w:rsidRPr="00316386">
        <w:rPr>
          <w:b/>
          <w:bCs/>
          <w:i/>
          <w:iCs/>
        </w:rPr>
        <w:t>Should I create a new assignment just for this?</w:t>
      </w:r>
    </w:p>
    <w:p w14:paraId="3F214396" w14:textId="77777777" w:rsidR="000A2602" w:rsidRPr="00672062" w:rsidRDefault="000A2602" w:rsidP="000A2602">
      <w:pPr>
        <w:ind w:firstLine="720"/>
      </w:pPr>
      <w:r w:rsidRPr="00672062">
        <w:t xml:space="preserve">No. </w:t>
      </w:r>
      <w:r>
        <w:t>Please select an existing assignment that best demonstrates the SLOs and rubric criteria.</w:t>
      </w:r>
    </w:p>
    <w:p w14:paraId="7A2A96B9" w14:textId="77777777" w:rsidR="000A2602" w:rsidRPr="00316386" w:rsidRDefault="000A2602" w:rsidP="000A2602">
      <w:pPr>
        <w:rPr>
          <w:b/>
          <w:bCs/>
          <w:i/>
          <w:iCs/>
        </w:rPr>
      </w:pPr>
      <w:r w:rsidRPr="00316386">
        <w:rPr>
          <w:b/>
          <w:bCs/>
          <w:i/>
          <w:iCs/>
        </w:rPr>
        <w:t>Which assignments should I select?</w:t>
      </w:r>
    </w:p>
    <w:p w14:paraId="4EE5311D" w14:textId="77777777" w:rsidR="000A2602" w:rsidRPr="00DA1ABD" w:rsidRDefault="000A2602" w:rsidP="000A2602">
      <w:pPr>
        <w:ind w:left="720"/>
      </w:pPr>
      <w:r w:rsidRPr="00DA1ABD">
        <w:t xml:space="preserve">Choose an assignment (e.g., essay, project report, PowerPoint) from your course </w:t>
      </w:r>
      <w:r>
        <w:t xml:space="preserve">in Fall 23 and Winter 24 </w:t>
      </w:r>
      <w:r w:rsidRPr="00DA1ABD">
        <w:t>that best demonstrates the learning outcomes and rubric criteria.</w:t>
      </w:r>
    </w:p>
    <w:p w14:paraId="499A13C1" w14:textId="77777777" w:rsidR="000A2602" w:rsidRPr="00316386" w:rsidRDefault="000A2602" w:rsidP="000A2602">
      <w:pPr>
        <w:rPr>
          <w:b/>
          <w:bCs/>
          <w:i/>
          <w:iCs/>
        </w:rPr>
      </w:pPr>
      <w:r w:rsidRPr="00316386">
        <w:rPr>
          <w:b/>
          <w:bCs/>
          <w:i/>
          <w:iCs/>
        </w:rPr>
        <w:t xml:space="preserve">How do I choose two </w:t>
      </w:r>
      <w:r>
        <w:rPr>
          <w:b/>
          <w:bCs/>
          <w:i/>
          <w:iCs/>
        </w:rPr>
        <w:t>student</w:t>
      </w:r>
      <w:r w:rsidRPr="00316386">
        <w:rPr>
          <w:b/>
          <w:bCs/>
          <w:i/>
          <w:iCs/>
        </w:rPr>
        <w:t xml:space="preserve"> </w:t>
      </w:r>
      <w:r>
        <w:rPr>
          <w:b/>
          <w:bCs/>
          <w:i/>
          <w:iCs/>
        </w:rPr>
        <w:t xml:space="preserve">coursework </w:t>
      </w:r>
      <w:r w:rsidRPr="00316386">
        <w:rPr>
          <w:b/>
          <w:bCs/>
          <w:i/>
          <w:iCs/>
        </w:rPr>
        <w:t>samples?</w:t>
      </w:r>
    </w:p>
    <w:p w14:paraId="36F4B45F" w14:textId="77777777" w:rsidR="000A2602" w:rsidRDefault="000A2602" w:rsidP="000A2602">
      <w:pPr>
        <w:ind w:left="720"/>
      </w:pPr>
      <w:r>
        <w:t xml:space="preserve">Please randomly select two student </w:t>
      </w:r>
      <w:r w:rsidRPr="009370DF">
        <w:t>coursework samples from</w:t>
      </w:r>
      <w:r>
        <w:t xml:space="preserve"> an assignment. Randomness allows us to assess a wide range of student coursework.</w:t>
      </w:r>
    </w:p>
    <w:p w14:paraId="64B87182" w14:textId="77777777" w:rsidR="000A2602" w:rsidRPr="00316386" w:rsidRDefault="000A2602" w:rsidP="000A2602">
      <w:pPr>
        <w:rPr>
          <w:b/>
          <w:bCs/>
          <w:i/>
          <w:iCs/>
        </w:rPr>
      </w:pPr>
      <w:r w:rsidRPr="00316386">
        <w:rPr>
          <w:b/>
          <w:bCs/>
          <w:i/>
          <w:iCs/>
        </w:rPr>
        <w:t>How</w:t>
      </w:r>
      <w:r>
        <w:rPr>
          <w:b/>
          <w:bCs/>
          <w:i/>
          <w:iCs/>
        </w:rPr>
        <w:t xml:space="preserve"> can I do a random sampling</w:t>
      </w:r>
      <w:r w:rsidRPr="009370DF">
        <w:rPr>
          <w:b/>
          <w:bCs/>
          <w:i/>
          <w:iCs/>
        </w:rPr>
        <w:t>?</w:t>
      </w:r>
    </w:p>
    <w:p w14:paraId="12E76FA1" w14:textId="77777777" w:rsidR="000A2602" w:rsidRDefault="000A2602" w:rsidP="000A2602">
      <w:pPr>
        <w:ind w:left="720"/>
      </w:pPr>
      <w:r>
        <w:t>For example, you could number</w:t>
      </w:r>
      <w:r w:rsidRPr="00DA1ABD">
        <w:t xml:space="preserve"> the student</w:t>
      </w:r>
      <w:r>
        <w:t xml:space="preserve"> coursework</w:t>
      </w:r>
      <w:r w:rsidRPr="00DA1ABD">
        <w:t xml:space="preserve"> and then use a random number generator to choose </w:t>
      </w:r>
      <w:r>
        <w:t>two numbers.</w:t>
      </w:r>
    </w:p>
    <w:p w14:paraId="53B24070" w14:textId="77777777" w:rsidR="000A2602" w:rsidRDefault="00000000" w:rsidP="000A2602">
      <w:pPr>
        <w:ind w:firstLine="720"/>
      </w:pPr>
      <w:hyperlink r:id="rId7" w:history="1">
        <w:r w:rsidR="000A2602" w:rsidRPr="00CE143A">
          <w:rPr>
            <w:rStyle w:val="Hyperlink"/>
          </w:rPr>
          <w:t>https://www.calculatorsoup.com/calculators/statistics/random-number-generator.php</w:t>
        </w:r>
      </w:hyperlink>
    </w:p>
    <w:p w14:paraId="7F36AF4D" w14:textId="77777777" w:rsidR="00987F39" w:rsidRDefault="00987F39" w:rsidP="000A2602">
      <w:pPr>
        <w:rPr>
          <w:b/>
          <w:bCs/>
          <w:i/>
          <w:iCs/>
        </w:rPr>
      </w:pPr>
    </w:p>
    <w:p w14:paraId="1E5D5C54" w14:textId="77777777" w:rsidR="00987F39" w:rsidRPr="00987F39" w:rsidRDefault="00987F39" w:rsidP="00987F39">
      <w:pPr>
        <w:pStyle w:val="NormalWeb"/>
        <w:shd w:val="clear" w:color="auto" w:fill="FFFFFF"/>
        <w:spacing w:before="0" w:after="0"/>
        <w:rPr>
          <w:rFonts w:asciiTheme="minorHAnsi" w:eastAsiaTheme="minorHAnsi" w:hAnsiTheme="minorHAnsi" w:cstheme="minorBidi"/>
          <w:b/>
          <w:bCs/>
          <w:i/>
          <w:iCs/>
          <w:kern w:val="2"/>
          <w:sz w:val="22"/>
          <w:szCs w:val="22"/>
          <w14:ligatures w14:val="standardContextual"/>
        </w:rPr>
      </w:pPr>
      <w:r w:rsidRPr="00987F39">
        <w:rPr>
          <w:rFonts w:asciiTheme="minorHAnsi" w:eastAsiaTheme="minorHAnsi" w:hAnsiTheme="minorHAnsi" w:cstheme="minorBidi"/>
          <w:b/>
          <w:bCs/>
          <w:i/>
          <w:iCs/>
          <w:kern w:val="2"/>
          <w:sz w:val="22"/>
          <w:szCs w:val="22"/>
          <w14:ligatures w14:val="standardContextual"/>
        </w:rPr>
        <w:lastRenderedPageBreak/>
        <w:t>I am an NTT faculty and have never been asked to do this. How is the university going to support my time to participate in the assessment day?</w:t>
      </w:r>
    </w:p>
    <w:p w14:paraId="20EF6F38" w14:textId="3255F20F" w:rsidR="00987F39" w:rsidRPr="00987F39" w:rsidRDefault="00987F39" w:rsidP="00987F39">
      <w:pPr>
        <w:pStyle w:val="NormalWeb"/>
        <w:shd w:val="clear" w:color="auto" w:fill="FFFFFF"/>
        <w:spacing w:before="0" w:after="0"/>
        <w:rPr>
          <w:rFonts w:asciiTheme="minorHAnsi" w:eastAsiaTheme="minorHAnsi" w:hAnsiTheme="minorHAnsi" w:cstheme="minorBidi"/>
          <w:kern w:val="2"/>
          <w:sz w:val="22"/>
          <w:szCs w:val="22"/>
          <w14:ligatures w14:val="standardContextual"/>
        </w:rPr>
      </w:pPr>
      <w:r w:rsidRPr="00987F39">
        <w:rPr>
          <w:rFonts w:asciiTheme="minorHAnsi" w:eastAsiaTheme="minorHAnsi" w:hAnsiTheme="minorHAnsi" w:cstheme="minorBidi"/>
          <w:kern w:val="2"/>
          <w:sz w:val="22"/>
          <w:szCs w:val="22"/>
          <w14:ligatures w14:val="standardContextual"/>
        </w:rPr>
        <w:t>We are trying to create an inclusive culture of assessment, and we appreciate the NTT faculty’s participation in the assessment. The NTT faculty who join the assessment day and review the student artifacts will be compensated.</w:t>
      </w:r>
    </w:p>
    <w:p w14:paraId="1C8A6BB9" w14:textId="77777777" w:rsidR="00987F39" w:rsidRPr="00987F39" w:rsidRDefault="00987F39" w:rsidP="00987F39">
      <w:pPr>
        <w:pStyle w:val="NormalWeb"/>
        <w:shd w:val="clear" w:color="auto" w:fill="FFFFFF"/>
        <w:spacing w:before="0" w:beforeAutospacing="0" w:after="0" w:afterAutospacing="0"/>
        <w:rPr>
          <w:rFonts w:asciiTheme="minorHAnsi" w:eastAsiaTheme="minorHAnsi" w:hAnsiTheme="minorHAnsi" w:cstheme="minorBidi"/>
          <w:b/>
          <w:bCs/>
          <w:i/>
          <w:iCs/>
          <w:kern w:val="2"/>
          <w:sz w:val="22"/>
          <w:szCs w:val="22"/>
          <w14:ligatures w14:val="standardContextual"/>
        </w:rPr>
      </w:pPr>
      <w:r w:rsidRPr="00987F39">
        <w:rPr>
          <w:rFonts w:asciiTheme="minorHAnsi" w:eastAsiaTheme="minorHAnsi" w:hAnsiTheme="minorHAnsi" w:cstheme="minorBidi"/>
          <w:b/>
          <w:bCs/>
          <w:i/>
          <w:iCs/>
          <w:kern w:val="2"/>
          <w:sz w:val="22"/>
          <w:szCs w:val="22"/>
          <w14:ligatures w14:val="standardContextual"/>
        </w:rPr>
        <w:t>I am a graduate student who teaches AW 1. Do I still have to submit the student artifacts?</w:t>
      </w:r>
    </w:p>
    <w:p w14:paraId="076173D7" w14:textId="77777777" w:rsidR="00987F39" w:rsidRDefault="00987F39" w:rsidP="00987F39">
      <w:pPr>
        <w:pStyle w:val="NormalWeb"/>
        <w:shd w:val="clear" w:color="auto" w:fill="FFFFFF"/>
        <w:spacing w:before="0" w:beforeAutospacing="0" w:after="0" w:afterAutospacing="0"/>
        <w:rPr>
          <w:rFonts w:ascii="Aptos" w:hAnsi="Aptos"/>
          <w:color w:val="000000"/>
        </w:rPr>
      </w:pPr>
    </w:p>
    <w:p w14:paraId="05534A6A" w14:textId="77777777" w:rsidR="00987F39" w:rsidRPr="00987F39" w:rsidRDefault="00987F39" w:rsidP="00987F39">
      <w:pPr>
        <w:pStyle w:val="NormalWeb"/>
        <w:shd w:val="clear" w:color="auto" w:fill="FFFFFF"/>
        <w:spacing w:before="0" w:beforeAutospacing="0" w:after="0" w:afterAutospacing="0"/>
        <w:rPr>
          <w:rFonts w:asciiTheme="minorHAnsi" w:eastAsiaTheme="minorHAnsi" w:hAnsiTheme="minorHAnsi" w:cstheme="minorBidi"/>
          <w:kern w:val="2"/>
          <w:sz w:val="22"/>
          <w:szCs w:val="22"/>
          <w14:ligatures w14:val="standardContextual"/>
        </w:rPr>
      </w:pPr>
      <w:r w:rsidRPr="00987F39">
        <w:rPr>
          <w:rFonts w:asciiTheme="minorHAnsi" w:eastAsiaTheme="minorHAnsi" w:hAnsiTheme="minorHAnsi" w:cstheme="minorBidi"/>
          <w:kern w:val="2"/>
          <w:sz w:val="22"/>
          <w:szCs w:val="22"/>
          <w14:ligatures w14:val="standardContextual"/>
        </w:rPr>
        <w:t>Yes. Regardless of your status (e.g., a graduate student, NTT, or TT) you will be asked to submit the student artifacts from your class if you teach AW 1, K4, K5, and K6 in Fall 23 and/or Winter 24.</w:t>
      </w:r>
    </w:p>
    <w:p w14:paraId="7D7F09D8" w14:textId="77777777" w:rsidR="00987F39" w:rsidRDefault="00987F39" w:rsidP="000A2602">
      <w:pPr>
        <w:rPr>
          <w:b/>
          <w:bCs/>
          <w:i/>
          <w:iCs/>
        </w:rPr>
      </w:pPr>
    </w:p>
    <w:p w14:paraId="785EF76E" w14:textId="72A9F73E" w:rsidR="000A2602" w:rsidRPr="00904098" w:rsidRDefault="000A2602" w:rsidP="000A2602">
      <w:pPr>
        <w:rPr>
          <w:b/>
          <w:bCs/>
          <w:i/>
          <w:iCs/>
        </w:rPr>
      </w:pPr>
      <w:r w:rsidRPr="00904098">
        <w:rPr>
          <w:b/>
          <w:bCs/>
          <w:i/>
          <w:iCs/>
        </w:rPr>
        <w:t>Who is the General Education Assessment Workgroup?</w:t>
      </w:r>
    </w:p>
    <w:p w14:paraId="6E4722A1" w14:textId="77777777" w:rsidR="000A2602" w:rsidRDefault="000A2602" w:rsidP="000A2602">
      <w:pPr>
        <w:ind w:firstLine="360"/>
      </w:pPr>
      <w:r>
        <w:t>The University General Education Assessment Workgroup consists of the following members.</w:t>
      </w:r>
    </w:p>
    <w:p w14:paraId="3A087B71" w14:textId="77777777" w:rsidR="000A2602" w:rsidRDefault="000A2602" w:rsidP="000A2602">
      <w:pPr>
        <w:pStyle w:val="ListParagraph"/>
        <w:numPr>
          <w:ilvl w:val="0"/>
          <w:numId w:val="1"/>
        </w:numPr>
        <w:ind w:left="630" w:hanging="270"/>
      </w:pPr>
      <w:r>
        <w:t>Undergraduate Studies Dean, committee chair</w:t>
      </w:r>
    </w:p>
    <w:p w14:paraId="727468C0" w14:textId="77777777" w:rsidR="000A2602" w:rsidRDefault="000A2602" w:rsidP="000A2602">
      <w:pPr>
        <w:pStyle w:val="ListParagraph"/>
        <w:numPr>
          <w:ilvl w:val="0"/>
          <w:numId w:val="1"/>
        </w:numPr>
        <w:ind w:left="630" w:hanging="270"/>
      </w:pPr>
      <w:r>
        <w:t>FS General Education Committee chair, or designee</w:t>
      </w:r>
    </w:p>
    <w:p w14:paraId="76E3919F" w14:textId="77777777" w:rsidR="000A2602" w:rsidRDefault="000A2602" w:rsidP="000A2602">
      <w:pPr>
        <w:pStyle w:val="ListParagraph"/>
        <w:numPr>
          <w:ilvl w:val="0"/>
          <w:numId w:val="1"/>
        </w:numPr>
        <w:ind w:left="630" w:hanging="270"/>
      </w:pPr>
      <w:r>
        <w:t>University Assessment Committee representative</w:t>
      </w:r>
    </w:p>
    <w:p w14:paraId="135674FB" w14:textId="77777777" w:rsidR="000A2602" w:rsidRDefault="000A2602" w:rsidP="000A2602">
      <w:pPr>
        <w:pStyle w:val="ListParagraph"/>
        <w:numPr>
          <w:ilvl w:val="0"/>
          <w:numId w:val="1"/>
        </w:numPr>
        <w:ind w:left="630" w:hanging="270"/>
      </w:pPr>
      <w:r>
        <w:t>NWCCU Liaison</w:t>
      </w:r>
    </w:p>
    <w:p w14:paraId="76D26A2B" w14:textId="77777777" w:rsidR="000A2602" w:rsidRPr="002201EE" w:rsidRDefault="000A2602" w:rsidP="000A2602">
      <w:pPr>
        <w:ind w:firstLine="360"/>
        <w:rPr>
          <w:i/>
          <w:iCs/>
        </w:rPr>
      </w:pPr>
      <w:r w:rsidRPr="002201EE">
        <w:rPr>
          <w:i/>
          <w:iCs/>
        </w:rPr>
        <w:t>The committee must be at least half teaching faculty.</w:t>
      </w:r>
    </w:p>
    <w:p w14:paraId="013FDB2D" w14:textId="77777777" w:rsidR="000A2602" w:rsidRPr="00B65C1B" w:rsidRDefault="000A2602" w:rsidP="000A2602">
      <w:pPr>
        <w:rPr>
          <w:b/>
          <w:bCs/>
          <w:i/>
          <w:iCs/>
        </w:rPr>
      </w:pPr>
      <w:r w:rsidRPr="00B65C1B">
        <w:rPr>
          <w:b/>
          <w:bCs/>
          <w:i/>
          <w:iCs/>
        </w:rPr>
        <w:t>Who do I contact if I have questions?</w:t>
      </w:r>
    </w:p>
    <w:p w14:paraId="09C80207" w14:textId="77777777" w:rsidR="000A2602" w:rsidRDefault="000A2602" w:rsidP="000A2602">
      <w:r w:rsidRPr="00A8170E">
        <w:t>For the NWCCU accreditation, please contact Kurt K</w:t>
      </w:r>
      <w:r>
        <w:t>ir</w:t>
      </w:r>
      <w:r w:rsidRPr="00A8170E">
        <w:t>stein</w:t>
      </w:r>
      <w:r>
        <w:t xml:space="preserve"> at </w:t>
      </w:r>
      <w:r w:rsidRPr="00A8170E">
        <w:t>kurt.kirstein@cwu.edu</w:t>
      </w:r>
      <w:r>
        <w:t>.</w:t>
      </w:r>
    </w:p>
    <w:p w14:paraId="59026E41" w14:textId="77777777" w:rsidR="000A2602" w:rsidRDefault="000A2602" w:rsidP="000A2602">
      <w:r>
        <w:t xml:space="preserve">For overall General Education questions, please contact John </w:t>
      </w:r>
      <w:proofErr w:type="spellStart"/>
      <w:r>
        <w:t>Nurohr</w:t>
      </w:r>
      <w:proofErr w:type="spellEnd"/>
      <w:r>
        <w:t xml:space="preserve"> at </w:t>
      </w:r>
      <w:r w:rsidRPr="00A8170E">
        <w:t>john.neurohr@cwu.edu</w:t>
      </w:r>
      <w:r>
        <w:t>.</w:t>
      </w:r>
    </w:p>
    <w:p w14:paraId="4D4CA34B" w14:textId="77777777" w:rsidR="000A2602" w:rsidRDefault="000A2602" w:rsidP="000A2602">
      <w:r>
        <w:t>For the General Education assessment, please contact Yoshiko Takahashi at yoshiko.takahashi@cwu.edu.</w:t>
      </w:r>
    </w:p>
    <w:p w14:paraId="4359057A" w14:textId="77777777" w:rsidR="000A0E68" w:rsidRDefault="000A0E68"/>
    <w:sectPr w:rsidR="000A0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B97"/>
    <w:multiLevelType w:val="hybridMultilevel"/>
    <w:tmpl w:val="9BD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33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02"/>
    <w:rsid w:val="000A0E68"/>
    <w:rsid w:val="000A2602"/>
    <w:rsid w:val="00593CFE"/>
    <w:rsid w:val="0098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CC2E"/>
  <w15:chartTrackingRefBased/>
  <w15:docId w15:val="{ED2CCDA8-E0ED-4F69-90A2-E1A43E4C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602"/>
    <w:rPr>
      <w:color w:val="0563C1" w:themeColor="hyperlink"/>
      <w:u w:val="single"/>
    </w:rPr>
  </w:style>
  <w:style w:type="paragraph" w:styleId="ListParagraph">
    <w:name w:val="List Paragraph"/>
    <w:basedOn w:val="Normal"/>
    <w:uiPriority w:val="34"/>
    <w:qFormat/>
    <w:rsid w:val="000A2602"/>
    <w:pPr>
      <w:ind w:left="720"/>
      <w:contextualSpacing/>
    </w:pPr>
  </w:style>
  <w:style w:type="paragraph" w:styleId="NormalWeb">
    <w:name w:val="Normal (Web)"/>
    <w:basedOn w:val="Normal"/>
    <w:uiPriority w:val="99"/>
    <w:semiHidden/>
    <w:unhideWhenUsed/>
    <w:rsid w:val="00987F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8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culatorsoup.com/calculators/statistics/random-number-generato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wu.edu/academics/general-education/component-areas/first-year-experience.php" TargetMode="External"/><Relationship Id="rId5" Type="http://schemas.openxmlformats.org/officeDocument/2006/relationships/hyperlink" Target="https://www.cwu.edu/academics/general-education/component-areas/knowledge-area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Takahashi</dc:creator>
  <cp:keywords/>
  <dc:description/>
  <cp:lastModifiedBy>Yoshiko Takahashi</cp:lastModifiedBy>
  <cp:revision>3</cp:revision>
  <dcterms:created xsi:type="dcterms:W3CDTF">2024-01-17T16:32:00Z</dcterms:created>
  <dcterms:modified xsi:type="dcterms:W3CDTF">2024-01-18T22:54:00Z</dcterms:modified>
</cp:coreProperties>
</file>